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武汉市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自然资源和规划局2020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事业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单位公开招聘面试考生须知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至少提前1小时到达考点，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40分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考务人员进行核验身份信息时，考生需摘下口罩。考生进入考点后要全程佩戴口罩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（仅</w:t>
      </w:r>
      <w:r>
        <w:rPr>
          <w:rFonts w:hint="eastAsia" w:ascii="仿宋_GB2312" w:hAnsi="Times New Roman" w:cs="仿宋_GB2312"/>
          <w:color w:val="auto"/>
          <w:sz w:val="32"/>
          <w:szCs w:val="32"/>
          <w:lang w:eastAsia="zh-CN"/>
        </w:rPr>
        <w:t>面试过程中可摘下口罩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持“湖北健康码”绿码及现场测量体温正常（＜37.3℃），方可进入考试区域。持“湖北健康码”非绿码的考生和来自国内疫情中、高风险地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区的考生，须提供7天内新冠病毒核酸检测阴性证明。体温测量若出现发热等可疑症状的人员，应至临时等候区复测体温。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复测体温仍超过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37.3℃的，进入隔离室。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面试期间采取入闱封闭的办法进行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zCs w:val="30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179AC"/>
    <w:rsid w:val="7A5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2020-09-14T02:03:14Z</dcterms:created>
  <dc:creator>Administrator</dc:creator>
  <cp:lastModifiedBy>Administrator</cp:lastModifiedBy>
  <dcterms:modified xsi:type="dcterms:W3CDTF">2020-09-14T02:03:30Z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